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24 147 vom 25. Oktober 2025</w:t>
      </w:r>
    </w:p>
    <w:p>
      <w:r>
        <w:t>VS Kantonsgericht, 2025-10-25, FR</w:t>
      </w:r>
    </w:p>
    <w:p>
      <w:r>
        <w:rPr>
          <w:b/>
        </w:rPr>
        <w:t xml:space="preserve">Quelle: </w:t>
      </w:r>
      <w:r>
        <w:t>https://mcp.opencaselaw.ch/entscheid/vs_gerichte_F1 24 147</w:t>
      </w:r>
    </w:p>
    <w:p>
      <w:r>
        <w:t>FR: VS_GERICHTE F1 24 147 du 25 octobre 2025</w:t>
      </w:r>
    </w:p>
    <w:p>
      <w:r>
        <w:t>IT: VS_GERICHTE F1 24 147 del 25 ottobre 2025</w:t>
      </w:r>
    </w:p>
    <w:p>
      <w:pPr>
        <w:pStyle w:val="Heading2"/>
      </w:pPr>
      <w:r>
        <w:t>Erwägungen</w:t>
      </w:r>
    </w:p>
    <w:p>
      <w:r>
        <w:rPr>
          <w:b/>
        </w:rPr>
        <w:t>E. 1.1</w:t>
      </w:r>
    </w:p>
    <w:p>
      <w:r>
        <w:t>Interjeté dans le délai et les formes prescrits, auprès de la juridiction compétente pour en connaître, par la destinataire de la décision attaquée qui lui dénie la qualité pour former réclamation contre la taxation 2021, le recours est recevable (art. 140 LIFD ; art. 50 LHID ; art. 150 LF ; art. 81a, 80 al. 1 let. a et c, 44 et 48 LPJA), sous réserve de ce qui suit.</w:t>
      </w:r>
    </w:p>
    <w:p>
      <w:r>
        <w:rPr>
          <w:b/>
        </w:rPr>
        <w:t>E. 1.2</w:t>
      </w:r>
    </w:p>
    <w:p>
      <w:r>
        <w:t>Un recours formé à l’encontre d’un prononcé d’irrecevabilité ne peut porter que sur cette seule question, à l’exclusion de tout aspect touchant au fond de l’affaire (cf. p. ex. arrêt du Tribunal fédéral 2C_67/2022 du 17 février 2022 consid. 4.5 ; ACDF F1 24 138 du 15 octobre 2024 consid. 2, F1 24 113 du 18 août 2024 consid. 1.2; RICHNER/FREI/KAUFMANN/ROHNER, Handkommentar zum DGB, 4ème éd. 2023, N. 44 ad Art. 140 DBG; ZWEIFEL/HUNZIKER, in : ZWEIFEL/BEUSCH [éd.], Bundesgesetz über die direkte Bundessteuer, 4ème éd. 2022, N. 56 ad Art. 132 DBG). L’objet du présent litige se limite donc à déterminer si c’est à bon droit que la CIPM a dénié la qualité de la recourante pour former réclamation contre la décision de taxation du 31 mars 2023. Dès lors que la décision attaquée ne traite que de ce seul aspect, les griefs et arguments présentés par la recourante en lien avec le fond de la cause, tels la violation du principe de déterminance, le caractère non simulé du prêt accordé à son associée ou l’absence de distribution dissimulée de dividende (ou prestation appréciable en argent) tenant dans l’augmentation de ce prêt durant la période fiscale litigieuse, sont donc irrecevables et ne seront pas examinés. En cas d’admission du recours, il appartiendra à l’autorité précédente de trancher ces questions de fond.</w:t>
      </w:r>
    </w:p>
    <w:p>
      <w:r>
        <w:rPr>
          <w:b/>
        </w:rPr>
        <w:t>E. 2</w:t>
      </w:r>
    </w:p>
    <w:p>
      <w:r>
        <w:t>La CIPM a retenu que la recourante n’avait pas d’intérêt digne de protection à contester la décision de taxation du 31 mars 2023 dans la mesure où celle-ci consistait dans l’introduction d’une réserve de 230'276 fr. portée en déduction de son capital propre, induisant une diminution du montant dû au titre de l’impôt cantonal sur le capital (cf. art. 24 ss LHID et 94 ss LF) en 2021. La recourante reconnaît que la correction opérée par la CIPM au passif de son bilan a réduit son imposition durant la période litigieuse. Elle prétend toutefois disposer d’un intérêt digne de protection à s’opposer à la taxation litigieuse en raison des lourdes conséquences que celle-ci induirait, tant pour elle-même que pour son associée, en matière d’impôt anticipé. Pour le reste, la recourante ne conteste pas la taxation litigieuse sous l’angle de l’impôt fédéral direct (art. 57 ss LIFD) ou de l’impôt cantonal sur le bénéfice (art. 24 ss LHID et 80 ss LF), qui ont</w:t>
      </w:r>
    </w:p>
    <w:p>
      <w:r>
        <w:t>- 8 - été fixés conformément aux facteurs déclarés par ses soins. Ces deux impôts ne sont donc pas litigieux.</w:t>
      </w:r>
    </w:p>
    <w:p>
      <w:r>
        <w:rPr>
          <w:b/>
        </w:rPr>
        <w:t>E. 3.1</w:t>
      </w:r>
    </w:p>
    <w:p>
      <w:r>
        <w:t>En droit cantonal, la qualité pour former réclamation est régie par les art. 48 LHID et 139 ss LF, normes qui exigent, à l’instar de toute voie de droit, un intérêt digne de protection à l’annulation ou à la modification de la décision attaquée (ZWEIFEL/HUNZIKER, in : ZWEIFEL/BEUSCH [éd.], Bundesgesetz über die Harmonisierung der direkten Steuern der Kantone und Gemeinden, 4ème éd. 2022, N. 13a ad. Art. 48 StHG). La question de l’intérêt digne de protection, de fait ou de droit, actuel et pratique, présente une dimension spécifique dans le contexte du droit fiscal (ATF 150 II 409 consid. 2.3 ; arrêt du Tribunal fédéral 9C_186/2024 du 18 juin 2024 consid. 6.2.2). Elle s’est avant tout posée dans le contexte des taxations dites « taxation zéro ». Ainsi,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Une décision de taxation ne revêt, en effet, l’autorité de la chose jugée que pour la période fiscale concernée. Les circonstances de fait et celles de droit peuvent être appréciées différemment lors d’une période de taxation ultérieure ; elles ne revêtent que la qualité de motifs qui ne participent pas à l’autorité matérielle de la chose jugée (arrêt du Tribunal fédéral 2C_784/2017 du</w:t>
      </w:r>
    </w:p>
    <w:p>
      <w:r>
        <w:rPr>
          <w:b/>
        </w:rPr>
        <w:t>E. 3.2</w:t>
      </w:r>
    </w:p>
    <w:p>
      <w:r>
        <w:t>Il ressort de jurisprudences cantonales rendues dans la ligne qui précède qu’une société n’a pas d’intérêt digne de protection à contester une décision de taxation introduisant, comme en l’espèce, une réserve négative au niveau du capital correspondant à l’augmentation d’un prêt à l’actionnaire qualifié de simulé (cf. arrêt du Tribunal cantonal zurichois SB.2012.00019 du 27 juin 2012 consid. 2.1 ; arrêt de la Cour de justice genevoise ATA/647/2014 du 19 août 2014 consid. 8 et 9 ; arrêt de la Commission de recours en matière fiscale du canton de Berne 100 18 420 et 200 18 341 du 28 mars 2019 consid. 1.2 et 1.3). Il a été jugé que la société ne pourrait se prévaloir d’un intérêt actuel à contester la qualification juridique du prêt qu’au moment où elle procéderait à des amortissements sur celui-ci que l’autorité de taxation viendrait à refuser. Ce n’était que dans ce cas que la qualification du prêt induirait une augmentation des facteurs imposables susceptible d’être contestée par la société. La contribuable n’avait pas lieu de craindre des procédures de rappel ou de soustraction d’impôt du fait de son imposition plus basse, puisque aucun fait nouveau ne justifierait d’ouvrir de telles procédures si l’appréciation juridique tenant à la qualification du prêt devait ultérieurement s’avérer erronée. Le risque pour l’actionnaire de voir le prêt simulé qualifié, dans son propre chapitre fiscal, de distribution dissimulée de bénéfice ou de prestation appréciable en argent ne donnait pas à la société un intérêt suffisant à recourir, puisque l’actionnaire pouvait contester ses propres facteurs fiscaux en usant des voies de droit prévues à cet effet. Certes, des décisions contradictoires étaient susceptibles d’être rendues si l’actionnaire venait à obtenir gain de cause, mais ce risque</w:t>
      </w:r>
    </w:p>
    <w:p>
      <w:r>
        <w:t>- 10 - ne portait pas préjudice à la société puisque celle-ci aura alors été imposée trop faiblement durant la période fiscale litigieuse (cf. l’arrêt du Tribunal cantonal zurichois SB.2012.00019 du 27 juin 2012 consid. 2.1).</w:t>
      </w:r>
    </w:p>
    <w:p>
      <w:r>
        <w:rPr>
          <w:b/>
        </w:rPr>
        <w:t>E. 3.3</w:t>
      </w:r>
    </w:p>
    <w:p>
      <w:r>
        <w:t>En l’espèce, la recourante a formé réclamation contre la décision de taxation du 31 mars 2023 afin d’obtenir la suppression de la réserve de 230'276 fr. portée en déduction de son capital propre. Elle ne conteste pas que la correction opérée par la CIPM a diminué le facteur déterminant pour la fixation de l’impôt cantonal sur le capital et que sa charge fiscale s’en est, en définitive, trouvée réduite en 2021. Au vu des jurisprudences précitées, ce constat conduit à retenir que la recourante n’a pas d’intérêt digne de protection à demander la modification de la taxation litigieuse, qui lui procure un avantage plutôt qu’elle ne lui porte préjudice. En réalité, c’est uniquement la motivation de la décision contestée – soit celle qualifiant l’augmentation du prêt à l’associée de distribution dissimulée de dividende – que conteste la recourante. Or, cette motivation est dépourvue de l’autorité matérielle de la chose jugée et ne légitime pas la recourante à contester la taxation, puisque celle-ci ne déploie aucun effet juridique immédiat autre que la diminution de son imposition durant la période litigieuse. Le simple fait que l’augmentation du prêt litigieuse puisse, comme annoncé dans le procès-verbal de taxation 2021, donner lieu à une reprise dans le chef de son associée, ne suffit pas à lui conférer la qualité pour recourir contre la baisse de sa propre imposition. Son associée est, en effet, un contribuable distinct qui dispose de voies de droit propres pour défendre ses intérêts, étant rappelé qu’une distribution dissimulée de dividende qualifiée de telle dans le chef d’une société ne constitue pas nécessairement un avantage appréciable en argent pour le détenteur de parts. De jurisprudence constante, il n’y a, en effet, pas d’automatisme de taxation entre ces deux sujets fiscaux (cf. p. ex. arrêt du Tribunal fédéral 2C_777/2019 du 28 avril 2020 5.3.2) qui, dans les procédures qui les concernent, doivent tous deux démontrer qu’ils ont un intérêt direct à la modification de la taxation requise. A cet égard, il peut être entièrement renvoyé aux arrêts cantonaux cités plus haut (cf. supra consid. 3.2), dont les considérations s’appliquent mutatis mutandis au présent cas d’espèce, y compris quant à l’absence de risque qu’une procédure de rappel ou de soustraction d’impôt en matière d’impôts directs puisse être ouverte contre la recourante du fait de la reprise litigieuse. L’argument selon lequel l’intérêt digne de protection à contester la taxation 2021 devrait être admis en raison des conséquences en résultant en matière d’impôt anticipé tombe pareillement à faux. Outre qu’il sort du cadre du présent litige, l’impôt anticipé qui pourrait être prélevé dans son chef ne compte pas parmi les domaines juridiques dans lesquels</w:t>
      </w:r>
    </w:p>
    <w:p>
      <w:r>
        <w:t>- 11 - une décision rendue en matière d’impôts directs peut avoir des effets contraignants. En effet, si la notion de prestation appréciable en argent au sens des art. 4 al. 1 let. b LIA et 20 al. 1 OIA se recoupe, en principe, avec celle de l’art. 20 al. 1 let. c LIFD, les décisions des autorités fiscales rendues en matière d’impôts directs n’ont pas d’effets liants vis-à- vis de l’AFC qui est seule compétente pour prélever l’impôt anticipé (cf. art. 1 OAI) et qui doit déterminer de manière autonome si une telle prestation a ou non été versée (cf. à ce sujet l’arrêt du Tribunal administratif fédéral A-1368/2021 du 14 mars 2022 consid. 6.3.1 ; ROBERT, La procédure non-contentieuse en matière de droits de timbre et d’impôt anticipé, in : OREF [éd.], Les procédures en droit fiscal, 4ème éd., 2021, p. 374-375). Ici encore, il n’y a donc pas d’automatisme entre des procédures de taxation qui sont distinctes et conduites de manière indépendante. Lorsqu’un impôt anticipé n’a pas été déclaré, ni payé par le débiteur d’une prestation imposable, il est vrai que l’AFC ne rend pas forcément de décision au sens de l’art. 41 LIA dans un premier temps. Cette autorité se contente généralement d’informer le contribuable des manquements constatés et de l’inviter, au moyen d’une lettre résumant son appréciation fiscale de la situation, à déclarer et à payer l’impôt dû. Dans ce cas, l’AFC doit toutefois donner au contribuable l’occasion de s’expliquer sur les manquements constatés (art. 40 al. 3 LIA). Si l’intéressé conteste l’appréciation de cette autorité quant à l’existence d’une prestation appréciable en argent, il peut alors requérir la notification d’une décision formelle et contester celle- ci en usant des voies de droit spécialement prévues à cet effet (cf. les art. 42 LIA et l’art. 33 let. d LTAF ; ROBERT, op. cit., p. 355). La recourante n’est ainsi pas dépourvue de moyens pour faire valoir ses droits dans une éventuelle procédure en perception de l’impôt anticipé, dont la décision de taxation litigieuse ne préjuge pas de l’issue. Celle-ci est également dépourvue d’effets contraignants sur toute procédure de soustraction d’impôt qui viendrait à être ouverte à l’encontre de la recourante en application de l’art. 61 LIA ou sur toute procédure en remboursement d’un éventuel impôt anticipé qui impliquerait son associée. La recourante n’a donc pas d’intérêt direct ou imminent à contester la taxation 2021 en prévision de ces procédures. Partant, c’est à bon droit que la décision attaquée lui a dénié un intérêt digne de protection à former réclamation contre la décision de taxation du 31 mars 2023. Ce faisant, l’autorité précédente a correctement appliqué les règles applicables en la matière, sans qu’il n’en résulte de violation de la garantie de l’accès au juge consacrée à l’art. 29a Cst.</w:t>
      </w:r>
    </w:p>
    <w:p>
      <w:r>
        <w:t>- 12 - 4. 4.1 Au vu de ce qui précède, le recours doit être rejeté (art. 150 al. 3 LF ; art. 80 al. 1 let. e et 60 al. 1 LPJA). 4.2 Les frais de la cause, fixés principalement sur le vu des principes de la couverture des frais et de l’équivalence des prestations, à 1500 fr., sont mis à la charge de la recourante, qui succombe et n’a pas droit à des dépens (art. 150 al. 3 LF, art. 89 al. 1 LPJA, 91 al. 1 a contrario LPJA ; art. 3 al. 3, 11, 13 al. 1 et 25 LTar).</w:t>
      </w:r>
    </w:p>
    <w:p>
      <w:r>
        <w:rPr>
          <w:b/>
        </w:rPr>
        <w:t>E. 8</w:t>
      </w:r>
    </w:p>
    <w:p>
      <w:r>
        <w:t>mars 2017 consid. 3). Par conséquent, dans la mesure où un contribuable souhaite que le montant de la perte à reporter sur la période fiscale suivante soit arrêté, un intérêt actuel digne de protection lui fait défaut (ATF 140 I 114 consid. 2.4). Il peut cependant en aller autrement lorsque la taxation zéro – malgré l’absence d’un impôt à payer durant la période fiscale litigieuse – peut déployer des effets juridiques immédiats, dont la clarification ne souffre d’être différée (ATF 150 II 409 consid. 2.3.2 et les références ; arrêt du Tribunal fédéral 9C_404/2023 du 7 mars 2025 consid. 4.3). A l’exception de ce cas particulier, il n’existe un intérêt digne de protection à l’annulation ou à la modification d’une décision de taxation que lorsque le contribuable demande une diminution des facteurs fiscaux déterminants ou une charge fiscale globalement plus basse pour la période fiscale concernée, voire, dans certaines circonstances, pour une future période fiscale (ATF 150 II 409 consid. 2.3.1 ; arrêt 9C_404/2023 précité consid. 4.3). L’on peut encore imaginer que le recours soit dépourvu d’effet en matière fiscale, mais qu’il soit important dans la mesure où d’autres domaines juridiques se fonderaient sur l’appréciation des autorités fiscales ; cela pourrait fonder un intérêt digne de protection</w:t>
      </w:r>
    </w:p>
    <w:p>
      <w:r>
        <w:t>- 9 - suffisant. Toutefois, comme le Tribunal fédéral l’a récemment reconnu au titre de l’effet réflexe de la procédure (fiscale) sur un autre domaine juridique, un intérêt digne de protection à agir ne doit, dans un tel cas, être admis qu’avec retenue. Il faut exiger que, dans le domaine juridique concerné, l’appréciation fiscale soit impérativement prise en compte, de sorte que la personne concernée s’avère tributaire du procès fiscal pour pouvoir défendre ses droits (ATF 150 II 409 consid. 2.3.1 et les références citées). Exceptionnellement encore, un intérêt digne de protection à demander une taxation plus élevée peut être admis lorsque celle-ci permettrait de baisser les impôts dans une période subséquente ou d’éviter une procédure imminente de rappel ou de soustraction d’impôt (ATF 150 II 409 consid. 2.3.2 ; arrêt du Tribunal fédéral 9C_611/2022 précité consid. 2.3.2.3 ; HUNZIKER/BIGLER, in : ZWEIFEL/BEUSCH [éd.], Bundesgesetz über die direkte Bundessteuer, 4ème éd. 2022, N. 23 ad. art. 140 LIFD ; CASANOVA/DUBEY, in : AUBRY GIRARDIN/NOËL [éd.], Commentaire de la LIFD, 2ème éd. 2017, n° 16 ad art. 132 et n°18 ad art. 140 LIFD).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